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902D46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59941</wp:posOffset>
            </wp:positionV>
            <wp:extent cx="1036231" cy="816816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231" cy="81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330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902D46" w:rsidRPr="00902D46" w:rsidRDefault="00902D46" w:rsidP="00902D46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bookmarkStart w:id="3" w:name="_GoBack"/>
      <w:bookmarkEnd w:id="3"/>
    </w:p>
    <w:p w:rsidR="00456330" w:rsidRPr="006C5A38" w:rsidRDefault="00902D46" w:rsidP="006C5A38">
      <w:pPr>
        <w:pStyle w:val="ECOPHONTITRE3B"/>
      </w:pPr>
      <w:r>
        <w:t>ACCESS A</w:t>
      </w:r>
    </w:p>
    <w:p w:rsidR="006C5A38" w:rsidRPr="006C5A38" w:rsidRDefault="006C5A38" w:rsidP="006C5A38"/>
    <w:p w:rsidR="00902D46" w:rsidRDefault="00902D46" w:rsidP="0045633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plafond sera constitué</w:t>
      </w:r>
      <w:r w:rsidRPr="00902D46">
        <w:rPr>
          <w:rFonts w:ascii="Arial" w:hAnsi="Arial" w:cs="Arial"/>
          <w:sz w:val="18"/>
          <w:szCs w:val="18"/>
        </w:rPr>
        <w:t xml:space="preserve"> de panneaux </w:t>
      </w:r>
      <w:r w:rsidRPr="00485E5A">
        <w:rPr>
          <w:rFonts w:ascii="Arial" w:hAnsi="Arial" w:cs="Arial"/>
          <w:b/>
          <w:sz w:val="18"/>
          <w:szCs w:val="18"/>
        </w:rPr>
        <w:t>type Access (Bord A)</w:t>
      </w:r>
      <w:r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sz w:val="18"/>
          <w:szCs w:val="18"/>
        </w:rPr>
        <w:t xml:space="preserve">ép. 27mm en </w:t>
      </w:r>
      <w:r w:rsidR="00D04A02">
        <w:rPr>
          <w:rFonts w:ascii="Arial" w:hAnsi="Arial" w:cs="Arial"/>
          <w:sz w:val="18"/>
          <w:szCs w:val="18"/>
        </w:rPr>
        <w:t>longueur</w:t>
      </w:r>
      <w:r w:rsidR="00485E5A">
        <w:rPr>
          <w:rFonts w:ascii="Arial" w:hAnsi="Arial" w:cs="Arial"/>
          <w:sz w:val="18"/>
          <w:szCs w:val="18"/>
        </w:rPr>
        <w:t xml:space="preserve"> </w:t>
      </w:r>
      <w:r w:rsidR="00D04A02">
        <w:rPr>
          <w:rFonts w:ascii="Arial" w:hAnsi="Arial" w:cs="Arial"/>
          <w:sz w:val="18"/>
          <w:szCs w:val="18"/>
        </w:rPr>
        <w:t xml:space="preserve">sur mesure entre 600 mm et </w:t>
      </w:r>
      <w:r w:rsidR="00485E5A">
        <w:rPr>
          <w:rFonts w:ascii="Arial" w:hAnsi="Arial" w:cs="Arial"/>
          <w:sz w:val="18"/>
          <w:szCs w:val="18"/>
        </w:rPr>
        <w:t>2000</w:t>
      </w:r>
      <w:r w:rsidR="00D04A02">
        <w:rPr>
          <w:rFonts w:ascii="Arial" w:hAnsi="Arial" w:cs="Arial"/>
          <w:sz w:val="18"/>
          <w:szCs w:val="18"/>
        </w:rPr>
        <w:t xml:space="preserve"> mm, et de largeur 577 mm ou </w:t>
      </w:r>
      <w:r w:rsidR="00485E5A">
        <w:rPr>
          <w:rFonts w:ascii="Arial" w:hAnsi="Arial" w:cs="Arial"/>
          <w:sz w:val="18"/>
          <w:szCs w:val="18"/>
        </w:rPr>
        <w:t>1177</w:t>
      </w:r>
      <w:r w:rsidR="00D04A02">
        <w:rPr>
          <w:rFonts w:ascii="Arial" w:hAnsi="Arial" w:cs="Arial"/>
          <w:sz w:val="18"/>
          <w:szCs w:val="18"/>
        </w:rPr>
        <w:t xml:space="preserve"> mm</w:t>
      </w:r>
      <w:r w:rsidR="00485E5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</w:t>
      </w:r>
      <w:r w:rsidRPr="00902D46">
        <w:rPr>
          <w:rFonts w:ascii="Arial" w:hAnsi="Arial" w:cs="Arial"/>
          <w:sz w:val="18"/>
          <w:szCs w:val="18"/>
        </w:rPr>
        <w:t>pécialement conçu pour les couloirs où des installations techniques sont placées dans le plénum et où un accès fréquent est nécessaire.</w:t>
      </w:r>
      <w:r>
        <w:rPr>
          <w:rFonts w:ascii="Arial" w:hAnsi="Arial" w:cs="Arial"/>
          <w:sz w:val="18"/>
          <w:szCs w:val="18"/>
        </w:rPr>
        <w:t xml:space="preserve"> </w:t>
      </w:r>
      <w:r w:rsidRPr="00902D46">
        <w:rPr>
          <w:rFonts w:ascii="Arial" w:hAnsi="Arial" w:cs="Arial"/>
          <w:sz w:val="18"/>
          <w:szCs w:val="18"/>
        </w:rPr>
        <w:t>Ecophon Access A se pose avec 23 mm d’espace entre chaque élément.</w:t>
      </w:r>
      <w:r>
        <w:rPr>
          <w:rFonts w:ascii="Arial" w:hAnsi="Arial" w:cs="Arial"/>
          <w:sz w:val="18"/>
          <w:szCs w:val="18"/>
        </w:rPr>
        <w:t xml:space="preserve"> </w:t>
      </w:r>
      <w:r w:rsidRPr="00902D46">
        <w:rPr>
          <w:rFonts w:ascii="Arial" w:hAnsi="Arial" w:cs="Arial"/>
          <w:sz w:val="18"/>
          <w:szCs w:val="18"/>
        </w:rPr>
        <w:t xml:space="preserve">Il est mis en œuvre de mur à mur ou peut être encadré par des plages de rive (Access </w:t>
      </w:r>
      <w:proofErr w:type="spellStart"/>
      <w:r w:rsidRPr="00902D46">
        <w:rPr>
          <w:rFonts w:ascii="Arial" w:hAnsi="Arial" w:cs="Arial"/>
          <w:sz w:val="18"/>
          <w:szCs w:val="18"/>
        </w:rPr>
        <w:t>frieze</w:t>
      </w:r>
      <w:proofErr w:type="spellEnd"/>
      <w:r w:rsidRPr="00902D46">
        <w:rPr>
          <w:rFonts w:ascii="Arial" w:hAnsi="Arial" w:cs="Arial"/>
          <w:sz w:val="18"/>
          <w:szCs w:val="18"/>
        </w:rPr>
        <w:t>) pour compenser les irrégularités des parois.</w:t>
      </w:r>
      <w:r>
        <w:rPr>
          <w:rFonts w:ascii="Arial" w:hAnsi="Arial" w:cs="Arial"/>
          <w:sz w:val="18"/>
          <w:szCs w:val="18"/>
        </w:rPr>
        <w:t xml:space="preserve"> </w:t>
      </w:r>
      <w:r w:rsidR="00D04A02">
        <w:rPr>
          <w:rFonts w:ascii="Arial" w:hAnsi="Arial" w:cs="Arial"/>
          <w:sz w:val="18"/>
          <w:szCs w:val="18"/>
        </w:rPr>
        <w:t>Ces panneaux seront équipés de deux</w:t>
      </w:r>
      <w:r w:rsidRPr="00902D46">
        <w:rPr>
          <w:rFonts w:ascii="Arial" w:hAnsi="Arial" w:cs="Arial"/>
          <w:sz w:val="18"/>
          <w:szCs w:val="18"/>
        </w:rPr>
        <w:t xml:space="preserve"> cintres</w:t>
      </w:r>
      <w:r w:rsidR="00D04A02">
        <w:rPr>
          <w:rFonts w:ascii="Arial" w:hAnsi="Arial" w:cs="Arial"/>
          <w:sz w:val="18"/>
          <w:szCs w:val="18"/>
        </w:rPr>
        <w:t xml:space="preserve"> permettant le basculement à la verticale des panneaux et</w:t>
      </w:r>
      <w:r w:rsidRPr="00902D46">
        <w:rPr>
          <w:rFonts w:ascii="Arial" w:hAnsi="Arial" w:cs="Arial"/>
          <w:sz w:val="18"/>
          <w:szCs w:val="18"/>
        </w:rPr>
        <w:t xml:space="preserve"> s</w:t>
      </w:r>
      <w:r w:rsidR="0070540A">
        <w:rPr>
          <w:rFonts w:ascii="Arial" w:hAnsi="Arial" w:cs="Arial"/>
          <w:sz w:val="18"/>
          <w:szCs w:val="18"/>
        </w:rPr>
        <w:t>er</w:t>
      </w:r>
      <w:r w:rsidRPr="00902D46">
        <w:rPr>
          <w:rFonts w:ascii="Arial" w:hAnsi="Arial" w:cs="Arial"/>
          <w:sz w:val="18"/>
          <w:szCs w:val="18"/>
        </w:rPr>
        <w:t>ont adaptés à la largeur du cadre en 577 mm ou 1177 mm.</w:t>
      </w:r>
      <w:r w:rsidR="0070540A">
        <w:rPr>
          <w:rFonts w:ascii="Arial" w:hAnsi="Arial" w:cs="Arial"/>
          <w:sz w:val="18"/>
          <w:szCs w:val="18"/>
        </w:rPr>
        <w:t>de largeur.</w:t>
      </w:r>
    </w:p>
    <w:p w:rsidR="00902D46" w:rsidRPr="00497189" w:rsidRDefault="00902D46" w:rsidP="00456330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Default="00DD1AED" w:rsidP="00485E5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902D46">
        <w:rPr>
          <w:rFonts w:ascii="Arial" w:hAnsi="Arial" w:cs="Arial"/>
          <w:color w:val="000000"/>
          <w:sz w:val="18"/>
          <w:szCs w:val="18"/>
        </w:rPr>
        <w:t>oids du système sera de 4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</w:t>
      </w:r>
      <w:r w:rsidRPr="00A0478C">
        <w:rPr>
          <w:rFonts w:ascii="Arial" w:hAnsi="Arial" w:cs="Arial"/>
          <w:sz w:val="18"/>
          <w:szCs w:val="18"/>
        </w:rPr>
        <w:t xml:space="preserve">La surface exposée sera traitée avec un </w:t>
      </w:r>
      <w:r w:rsidR="00F17B56" w:rsidRPr="00A0478C">
        <w:rPr>
          <w:rFonts w:ascii="Arial" w:hAnsi="Arial" w:cs="Arial"/>
          <w:sz w:val="18"/>
          <w:szCs w:val="18"/>
        </w:rPr>
        <w:t>revêtement lisse</w:t>
      </w:r>
      <w:r w:rsidR="00F17B56">
        <w:rPr>
          <w:rFonts w:ascii="Arial" w:hAnsi="Arial" w:cs="Arial"/>
          <w:sz w:val="18"/>
          <w:szCs w:val="18"/>
        </w:rPr>
        <w:t xml:space="preserve"> et homogène </w:t>
      </w:r>
      <w:r w:rsidRPr="008A1130">
        <w:rPr>
          <w:rFonts w:ascii="Arial" w:hAnsi="Arial" w:cs="Arial"/>
          <w:b/>
          <w:sz w:val="18"/>
          <w:szCs w:val="18"/>
        </w:rPr>
        <w:t>Akutex™ FT</w:t>
      </w:r>
      <w:r w:rsidRPr="00A0478C">
        <w:rPr>
          <w:rFonts w:ascii="Arial" w:hAnsi="Arial" w:cs="Arial"/>
          <w:sz w:val="18"/>
          <w:szCs w:val="18"/>
        </w:rPr>
        <w:t> : une</w:t>
      </w:r>
      <w:r>
        <w:rPr>
          <w:rFonts w:ascii="Arial" w:hAnsi="Arial" w:cs="Arial"/>
          <w:sz w:val="18"/>
          <w:szCs w:val="18"/>
        </w:rPr>
        <w:t xml:space="preserve"> peinture nano poreuse à l’eau</w:t>
      </w:r>
      <w:r w:rsidR="0071118D">
        <w:rPr>
          <w:rFonts w:ascii="Arial" w:hAnsi="Arial" w:cs="Arial"/>
          <w:color w:val="000000"/>
          <w:sz w:val="18"/>
          <w:szCs w:val="18"/>
        </w:rPr>
        <w:t xml:space="preserve"> et les bords seront peints</w:t>
      </w:r>
      <w:r w:rsidR="00F17B56">
        <w:rPr>
          <w:rFonts w:ascii="Arial" w:hAnsi="Arial" w:cs="Arial"/>
          <w:color w:val="000000"/>
          <w:sz w:val="18"/>
          <w:szCs w:val="18"/>
        </w:rPr>
        <w:t>.</w:t>
      </w:r>
      <w:r w:rsidR="00485E5A">
        <w:rPr>
          <w:rFonts w:ascii="Arial" w:hAnsi="Arial" w:cs="Arial"/>
          <w:color w:val="000000"/>
          <w:sz w:val="18"/>
          <w:szCs w:val="18"/>
        </w:rPr>
        <w:t xml:space="preserve"> 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Les bords seront recouverts d'un </w:t>
      </w:r>
      <w:r w:rsidR="00D04A02">
        <w:rPr>
          <w:rFonts w:ascii="Arial" w:hAnsi="Arial" w:cs="Arial"/>
          <w:color w:val="000000"/>
          <w:sz w:val="18"/>
          <w:szCs w:val="18"/>
        </w:rPr>
        <w:t>cadre en acier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>. Le cadre métallique et l’ossature s</w:t>
      </w:r>
      <w:r w:rsidR="00D04A02">
        <w:rPr>
          <w:rFonts w:ascii="Arial" w:hAnsi="Arial" w:cs="Arial"/>
          <w:color w:val="000000"/>
          <w:sz w:val="18"/>
          <w:szCs w:val="18"/>
        </w:rPr>
        <w:t>er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>ont en acier galvanisé</w:t>
      </w:r>
      <w:r w:rsidR="00485E5A">
        <w:rPr>
          <w:rFonts w:ascii="Arial" w:hAnsi="Arial" w:cs="Arial"/>
          <w:color w:val="000000"/>
          <w:sz w:val="18"/>
          <w:szCs w:val="18"/>
        </w:rPr>
        <w:t xml:space="preserve">, </w:t>
      </w:r>
      <w:r w:rsidR="00D04A02">
        <w:rPr>
          <w:rFonts w:ascii="Arial" w:hAnsi="Arial" w:cs="Arial"/>
          <w:color w:val="000000"/>
          <w:sz w:val="18"/>
          <w:szCs w:val="18"/>
        </w:rPr>
        <w:t>et leur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 couleur </w:t>
      </w:r>
      <w:r w:rsidR="00D04A02">
        <w:rPr>
          <w:rFonts w:ascii="Arial" w:hAnsi="Arial" w:cs="Arial"/>
          <w:color w:val="000000"/>
          <w:sz w:val="18"/>
          <w:szCs w:val="18"/>
        </w:rPr>
        <w:t>sera</w:t>
      </w:r>
      <w:r w:rsidR="00485E5A" w:rsidRPr="00485E5A">
        <w:rPr>
          <w:rFonts w:ascii="Arial" w:hAnsi="Arial" w:cs="Arial"/>
          <w:color w:val="000000"/>
          <w:sz w:val="18"/>
          <w:szCs w:val="18"/>
        </w:rPr>
        <w:t xml:space="preserve"> White 01.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Default="00485E5A" w:rsidP="003D6A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F17B56" w:rsidRPr="00221CC6">
        <w:rPr>
          <w:rFonts w:ascii="Arial" w:hAnsi="Arial" w:cs="Arial"/>
          <w:sz w:val="18"/>
          <w:szCs w:val="18"/>
        </w:rPr>
        <w:t xml:space="preserve"> : </w:t>
      </w:r>
      <w:r w:rsidRPr="00485E5A">
        <w:rPr>
          <w:rFonts w:ascii="Arial" w:hAnsi="Arial" w:cs="Arial"/>
          <w:sz w:val="18"/>
          <w:szCs w:val="18"/>
        </w:rPr>
        <w:t>Le système devra être mis en œuvre</w:t>
      </w:r>
      <w:r>
        <w:rPr>
          <w:rFonts w:ascii="Arial" w:hAnsi="Arial" w:cs="Arial"/>
          <w:sz w:val="18"/>
          <w:szCs w:val="18"/>
        </w:rPr>
        <w:t xml:space="preserve"> </w:t>
      </w:r>
      <w:r w:rsidR="00D04A02">
        <w:rPr>
          <w:rFonts w:ascii="Arial" w:hAnsi="Arial" w:cs="Arial"/>
          <w:sz w:val="18"/>
          <w:szCs w:val="18"/>
        </w:rPr>
        <w:t xml:space="preserve">selon le schéma de montage M60 </w:t>
      </w:r>
      <w:r w:rsidR="00D04A02" w:rsidRPr="00D510DB">
        <w:rPr>
          <w:rFonts w:ascii="Arial" w:hAnsi="Arial" w:cs="Arial"/>
          <w:sz w:val="18"/>
          <w:szCs w:val="18"/>
        </w:rPr>
        <w:t>et conformément à la norme NF 68-203 / DTU 58.1.</w:t>
      </w:r>
      <w:r w:rsidR="00D04A02" w:rsidRPr="007C1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Les panneaux</w:t>
      </w:r>
      <w:r w:rsidR="00D04A02">
        <w:rPr>
          <w:rFonts w:ascii="Arial" w:hAnsi="Arial" w:cs="Arial"/>
          <w:sz w:val="18"/>
          <w:szCs w:val="18"/>
        </w:rPr>
        <w:t xml:space="preserve"> </w:t>
      </w:r>
      <w:r w:rsidRPr="00485E5A">
        <w:rPr>
          <w:rFonts w:ascii="Arial" w:hAnsi="Arial" w:cs="Arial"/>
          <w:sz w:val="18"/>
          <w:szCs w:val="18"/>
        </w:rPr>
        <w:t xml:space="preserve">seront </w:t>
      </w:r>
      <w:r w:rsidR="00D04A02">
        <w:rPr>
          <w:rFonts w:ascii="Arial" w:hAnsi="Arial" w:cs="Arial"/>
          <w:sz w:val="18"/>
          <w:szCs w:val="18"/>
        </w:rPr>
        <w:t>très facilement démontables</w:t>
      </w:r>
      <w:r w:rsidR="0070540A">
        <w:rPr>
          <w:rFonts w:ascii="Arial" w:hAnsi="Arial" w:cs="Arial"/>
          <w:sz w:val="18"/>
          <w:szCs w:val="18"/>
        </w:rPr>
        <w:t xml:space="preserve"> en restant suspendus à la verticale ou bien totalement démontés.</w:t>
      </w:r>
    </w:p>
    <w:p w:rsidR="00485E5A" w:rsidRPr="00485E5A" w:rsidRDefault="00485E5A" w:rsidP="003D6A40">
      <w:pPr>
        <w:jc w:val="both"/>
        <w:rPr>
          <w:rFonts w:ascii="Arial" w:hAnsi="Arial" w:cs="Arial"/>
          <w:sz w:val="18"/>
          <w:szCs w:val="24"/>
        </w:rPr>
      </w:pPr>
    </w:p>
    <w:p w:rsidR="00485E5A" w:rsidRPr="001A095B" w:rsidRDefault="00F17B56" w:rsidP="00485E5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 code couleur</w:t>
      </w:r>
      <w:r w:rsidR="00485E5A"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485E5A">
        <w:rPr>
          <w:rFonts w:ascii="Arial" w:hAnsi="Arial" w:cs="Arial"/>
          <w:noProof/>
          <w:sz w:val="18"/>
          <w:szCs w:val="18"/>
        </w:rPr>
        <w:t xml:space="preserve"> de la face apparente sera S 0500-N. La réflexion à la lumière sera de 85%. Le niveau de b</w:t>
      </w:r>
      <w:r w:rsidR="00485E5A" w:rsidRPr="002B2C49">
        <w:rPr>
          <w:rFonts w:ascii="Arial" w:hAnsi="Arial" w:cs="Arial"/>
          <w:noProof/>
          <w:sz w:val="18"/>
          <w:szCs w:val="18"/>
        </w:rPr>
        <w:t>rillance</w:t>
      </w:r>
      <w:r w:rsidR="00485E5A">
        <w:rPr>
          <w:rFonts w:ascii="Arial" w:hAnsi="Arial" w:cs="Arial"/>
          <w:noProof/>
          <w:sz w:val="18"/>
          <w:szCs w:val="18"/>
        </w:rPr>
        <w:t xml:space="preserve"> devra être </w:t>
      </w:r>
      <w:r w:rsidR="00485E5A" w:rsidRPr="002B2C49">
        <w:rPr>
          <w:rFonts w:ascii="Arial" w:hAnsi="Arial" w:cs="Arial"/>
          <w:noProof/>
          <w:sz w:val="18"/>
          <w:szCs w:val="18"/>
        </w:rPr>
        <w:t>&lt; 1.</w:t>
      </w:r>
    </w:p>
    <w:p w:rsidR="00F17B56" w:rsidRDefault="00F17B56" w:rsidP="00485E5A">
      <w:pPr>
        <w:jc w:val="both"/>
        <w:rPr>
          <w:rFonts w:ascii="Arial" w:hAnsi="Arial" w:cs="Arial"/>
          <w:b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43D5F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A43D5F">
        <w:rPr>
          <w:rFonts w:ascii="Arial" w:hAnsi="Arial" w:cs="Arial"/>
          <w:sz w:val="18"/>
          <w:szCs w:val="18"/>
        </w:rPr>
        <w:t>un coefficient αw = 0,90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3B6D8D" w:rsidRPr="00CC0ECA" w:rsidTr="00FB35B4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3B6D8D" w:rsidRPr="00CC0ECA" w:rsidRDefault="00485E5A" w:rsidP="003B6D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ACCESS</w:t>
            </w:r>
            <w:r w:rsidR="003B6D8D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FB35B4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B6D8D" w:rsidRPr="00564EFD" w:rsidTr="00FB35B4">
        <w:trPr>
          <w:trHeight w:val="255"/>
        </w:trPr>
        <w:tc>
          <w:tcPr>
            <w:tcW w:w="1353" w:type="dxa"/>
            <w:noWrap/>
            <w:hideMark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76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B6D8D" w:rsidP="0070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70540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B6D8D" w:rsidP="0070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70540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70540A">
              <w:rPr>
                <w:rFonts w:ascii="Arial" w:hAnsi="Arial" w:cs="Arial"/>
                <w:sz w:val="18"/>
                <w:szCs w:val="18"/>
              </w:rPr>
              <w:t>.95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70540A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70540A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70540A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698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43" w:type="dxa"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="00485E5A">
        <w:rPr>
          <w:rFonts w:ascii="Arial" w:hAnsi="Arial" w:cs="Arial"/>
          <w:sz w:val="18"/>
          <w:szCs w:val="18"/>
        </w:rPr>
        <w:t xml:space="preserve"> Les panneaux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 w:rsidR="00485E5A">
        <w:rPr>
          <w:rFonts w:ascii="Arial" w:hAnsi="Arial" w:cs="Arial"/>
          <w:bCs/>
          <w:sz w:val="18"/>
          <w:szCs w:val="18"/>
        </w:rPr>
        <w:t>pension sera classé A1. Le panneau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Les panneaux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 w:rsidR="00735889">
        <w:rPr>
          <w:rFonts w:ascii="Arial" w:hAnsi="Arial" w:cs="Arial"/>
          <w:noProof/>
          <w:sz w:val="18"/>
          <w:szCs w:val="18"/>
        </w:rPr>
        <w:t xml:space="preserve"> atteindre 9</w:t>
      </w:r>
      <w:r>
        <w:rPr>
          <w:rFonts w:ascii="Arial" w:hAnsi="Arial" w:cs="Arial"/>
          <w:noProof/>
          <w:sz w:val="18"/>
          <w:szCs w:val="18"/>
        </w:rPr>
        <w:t>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="00485E5A">
        <w:rPr>
          <w:rFonts w:ascii="Arial" w:hAnsi="Arial" w:cs="Arial"/>
          <w:sz w:val="18"/>
          <w:szCs w:val="18"/>
        </w:rPr>
        <w:t xml:space="preserve"> Les panneaux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 w:rsidR="00485E5A">
        <w:rPr>
          <w:rFonts w:ascii="Arial" w:hAnsi="Arial" w:cs="Arial"/>
          <w:sz w:val="18"/>
          <w:szCs w:val="18"/>
        </w:rPr>
        <w:t>limatique intérieure. Les panneaux</w:t>
      </w:r>
      <w:r w:rsidRPr="00D510DB">
        <w:rPr>
          <w:rFonts w:ascii="Arial" w:hAnsi="Arial" w:cs="Arial"/>
          <w:sz w:val="18"/>
          <w:szCs w:val="18"/>
        </w:rPr>
        <w:t xml:space="preserve"> seront </w:t>
      </w:r>
      <w:r w:rsidR="00485E5A" w:rsidRPr="00D510DB">
        <w:rPr>
          <w:rFonts w:ascii="Arial" w:hAnsi="Arial" w:cs="Arial"/>
          <w:sz w:val="18"/>
          <w:szCs w:val="18"/>
        </w:rPr>
        <w:t>dépourvus</w:t>
      </w:r>
      <w:r w:rsidRPr="00D510DB"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</w:t>
      </w:r>
      <w:r w:rsidR="00485E5A">
        <w:rPr>
          <w:rFonts w:ascii="Arial" w:hAnsi="Arial" w:cs="Arial"/>
          <w:sz w:val="18"/>
          <w:szCs w:val="18"/>
        </w:rPr>
        <w:t xml:space="preserve"> contenu post recyclé des panneaux</w:t>
      </w:r>
      <w:r>
        <w:rPr>
          <w:rFonts w:ascii="Arial" w:hAnsi="Arial" w:cs="Arial"/>
          <w:sz w:val="18"/>
          <w:szCs w:val="18"/>
        </w:rPr>
        <w:t xml:space="preserve"> devra être </w:t>
      </w:r>
      <w:r w:rsidR="00485E5A">
        <w:rPr>
          <w:rFonts w:ascii="Arial" w:hAnsi="Arial" w:cs="Arial"/>
          <w:sz w:val="18"/>
          <w:szCs w:val="18"/>
        </w:rPr>
        <w:t>de 58%. Les panneaux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p w:rsidR="003B6D8D" w:rsidRPr="00361625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8F" w:rsidRDefault="000D3C8F" w:rsidP="00BE2C06">
      <w:r>
        <w:separator/>
      </w:r>
    </w:p>
  </w:endnote>
  <w:endnote w:type="continuationSeparator" w:id="0">
    <w:p w:rsidR="000D3C8F" w:rsidRDefault="000D3C8F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8F" w:rsidRDefault="000D3C8F" w:rsidP="00BE2C06">
      <w:r>
        <w:separator/>
      </w:r>
    </w:p>
  </w:footnote>
  <w:footnote w:type="continuationSeparator" w:id="0">
    <w:p w:rsidR="000D3C8F" w:rsidRDefault="000D3C8F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D3C8F"/>
    <w:rsid w:val="000F1497"/>
    <w:rsid w:val="00151193"/>
    <w:rsid w:val="002F09A5"/>
    <w:rsid w:val="003554B3"/>
    <w:rsid w:val="003B6D8D"/>
    <w:rsid w:val="003D6A40"/>
    <w:rsid w:val="003F3D8B"/>
    <w:rsid w:val="00456330"/>
    <w:rsid w:val="00485E5A"/>
    <w:rsid w:val="00497189"/>
    <w:rsid w:val="00502134"/>
    <w:rsid w:val="00583173"/>
    <w:rsid w:val="006C5A38"/>
    <w:rsid w:val="0070540A"/>
    <w:rsid w:val="0071118D"/>
    <w:rsid w:val="00735889"/>
    <w:rsid w:val="007358FD"/>
    <w:rsid w:val="00822E00"/>
    <w:rsid w:val="008F3E8E"/>
    <w:rsid w:val="00902D46"/>
    <w:rsid w:val="00944BE4"/>
    <w:rsid w:val="00A10D1A"/>
    <w:rsid w:val="00A43D5F"/>
    <w:rsid w:val="00B02789"/>
    <w:rsid w:val="00B220B2"/>
    <w:rsid w:val="00BE2C06"/>
    <w:rsid w:val="00CD439D"/>
    <w:rsid w:val="00D04A02"/>
    <w:rsid w:val="00DD1AED"/>
    <w:rsid w:val="00EE14B6"/>
    <w:rsid w:val="00F17B56"/>
    <w:rsid w:val="00F5462D"/>
    <w:rsid w:val="00F9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8C604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Bidaut, Fabienne</dc:creator>
  <cp:lastModifiedBy>Bouret, Pierre</cp:lastModifiedBy>
  <cp:revision>3</cp:revision>
  <dcterms:created xsi:type="dcterms:W3CDTF">2020-06-26T07:15:00Z</dcterms:created>
  <dcterms:modified xsi:type="dcterms:W3CDTF">2020-06-26T07:53:00Z</dcterms:modified>
</cp:coreProperties>
</file>