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3973E9" w:rsidP="00A43F9F">
      <w:pPr>
        <w:pStyle w:val="Titre7"/>
        <w:tabs>
          <w:tab w:val="left" w:pos="9420"/>
        </w:tabs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63980" cy="816610"/>
            <wp:effectExtent l="0" t="0" r="762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F9F">
        <w:rPr>
          <w:rFonts w:ascii="Arial" w:hAnsi="Arial" w:cs="Arial"/>
          <w:b w:val="0"/>
          <w:sz w:val="22"/>
          <w:szCs w:val="22"/>
        </w:rPr>
        <w:tab/>
      </w:r>
    </w:p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902D46" w:rsidRPr="00902D46" w:rsidRDefault="00902D46" w:rsidP="00A43F9F">
      <w:pPr>
        <w:jc w:val="right"/>
      </w:pPr>
    </w:p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2E0708" w:rsidP="006C5A38">
      <w:pPr>
        <w:pStyle w:val="ECOPHONTITRE3B"/>
      </w:pPr>
      <w:r>
        <w:t>GEDINA</w:t>
      </w:r>
      <w:r w:rsidR="00A43F9F">
        <w:t xml:space="preserve"> E</w:t>
      </w:r>
    </w:p>
    <w:p w:rsidR="006C5A38" w:rsidRPr="006C5A38" w:rsidRDefault="006C5A38" w:rsidP="006C5A38"/>
    <w:p w:rsidR="00902D46" w:rsidRDefault="00902D46" w:rsidP="0042125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="00982907">
        <w:rPr>
          <w:rFonts w:ascii="Arial" w:hAnsi="Arial" w:cs="Arial"/>
          <w:sz w:val="18"/>
          <w:szCs w:val="18"/>
        </w:rPr>
        <w:t xml:space="preserve"> de dalles</w:t>
      </w:r>
      <w:r w:rsidRPr="00902D46">
        <w:rPr>
          <w:rFonts w:ascii="Arial" w:hAnsi="Arial" w:cs="Arial"/>
          <w:sz w:val="18"/>
          <w:szCs w:val="18"/>
        </w:rPr>
        <w:t xml:space="preserve"> </w:t>
      </w:r>
      <w:r w:rsidR="002E0708">
        <w:rPr>
          <w:rFonts w:ascii="Arial" w:hAnsi="Arial" w:cs="Arial"/>
          <w:b/>
          <w:sz w:val="18"/>
          <w:szCs w:val="18"/>
        </w:rPr>
        <w:t xml:space="preserve">type </w:t>
      </w:r>
      <w:proofErr w:type="spellStart"/>
      <w:r w:rsidR="002E0708">
        <w:rPr>
          <w:rFonts w:ascii="Arial" w:hAnsi="Arial" w:cs="Arial"/>
          <w:b/>
          <w:sz w:val="18"/>
          <w:szCs w:val="18"/>
        </w:rPr>
        <w:t>Gedina</w:t>
      </w:r>
      <w:proofErr w:type="spellEnd"/>
      <w:r w:rsidR="00A43F9F">
        <w:rPr>
          <w:rFonts w:ascii="Arial" w:hAnsi="Arial" w:cs="Arial"/>
          <w:b/>
          <w:sz w:val="18"/>
          <w:szCs w:val="18"/>
        </w:rPr>
        <w:t xml:space="preserve"> (Bord E</w:t>
      </w:r>
      <w:r w:rsidRPr="00485E5A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2E0708">
        <w:rPr>
          <w:rFonts w:ascii="Arial" w:hAnsi="Arial" w:cs="Arial"/>
          <w:sz w:val="18"/>
          <w:szCs w:val="18"/>
        </w:rPr>
        <w:t>ép. 15 mm en dimensions 600x600</w:t>
      </w:r>
      <w:r w:rsidR="00A43F9F">
        <w:rPr>
          <w:rFonts w:ascii="Arial" w:hAnsi="Arial" w:cs="Arial"/>
          <w:sz w:val="18"/>
          <w:szCs w:val="18"/>
        </w:rPr>
        <w:t xml:space="preserve"> mm</w:t>
      </w:r>
      <w:r w:rsidR="002E0708">
        <w:rPr>
          <w:rFonts w:ascii="Arial" w:hAnsi="Arial" w:cs="Arial"/>
          <w:sz w:val="18"/>
          <w:szCs w:val="18"/>
        </w:rPr>
        <w:t>, 1200x600</w:t>
      </w:r>
      <w:r w:rsidR="00A43F9F">
        <w:rPr>
          <w:rFonts w:ascii="Arial" w:hAnsi="Arial" w:cs="Arial"/>
          <w:sz w:val="18"/>
          <w:szCs w:val="18"/>
        </w:rPr>
        <w:t xml:space="preserve"> mm</w:t>
      </w:r>
      <w:r w:rsidR="002E0708">
        <w:rPr>
          <w:rFonts w:ascii="Arial" w:hAnsi="Arial" w:cs="Arial"/>
          <w:sz w:val="18"/>
          <w:szCs w:val="18"/>
        </w:rPr>
        <w:t xml:space="preserve"> et 1200x1200</w:t>
      </w:r>
      <w:r w:rsidR="00A43F9F">
        <w:rPr>
          <w:rFonts w:ascii="Arial" w:hAnsi="Arial" w:cs="Arial"/>
          <w:sz w:val="18"/>
          <w:szCs w:val="18"/>
        </w:rPr>
        <w:t xml:space="preserve"> mm</w:t>
      </w:r>
      <w:r w:rsidR="00485E5A">
        <w:rPr>
          <w:rFonts w:ascii="Arial" w:hAnsi="Arial" w:cs="Arial"/>
          <w:sz w:val="18"/>
          <w:szCs w:val="18"/>
        </w:rPr>
        <w:t xml:space="preserve">, </w:t>
      </w:r>
      <w:r w:rsidR="00A43F9F">
        <w:rPr>
          <w:rFonts w:ascii="Arial" w:hAnsi="Arial" w:cs="Arial"/>
          <w:sz w:val="18"/>
          <w:szCs w:val="18"/>
        </w:rPr>
        <w:t>posés sur une ossature semi-encastrée en acier galvanisé C1</w:t>
      </w:r>
      <w:r w:rsidR="002E0708">
        <w:rPr>
          <w:rFonts w:ascii="Arial" w:hAnsi="Arial" w:cs="Arial"/>
          <w:sz w:val="18"/>
          <w:szCs w:val="18"/>
        </w:rPr>
        <w:t xml:space="preserve"> </w:t>
      </w:r>
      <w:r w:rsidR="00421253" w:rsidRPr="00421253">
        <w:rPr>
          <w:rFonts w:ascii="Arial" w:hAnsi="Arial" w:cs="Arial"/>
          <w:sz w:val="18"/>
          <w:szCs w:val="18"/>
        </w:rPr>
        <w:t>T</w:t>
      </w:r>
      <w:r w:rsidR="003973E9">
        <w:rPr>
          <w:rFonts w:ascii="Arial" w:hAnsi="Arial" w:cs="Arial"/>
          <w:sz w:val="18"/>
          <w:szCs w:val="18"/>
        </w:rPr>
        <w:t>24 ou T15,</w:t>
      </w:r>
      <w:r w:rsidR="00421253" w:rsidRPr="00421253">
        <w:rPr>
          <w:rFonts w:ascii="Arial" w:hAnsi="Arial" w:cs="Arial"/>
          <w:sz w:val="18"/>
          <w:szCs w:val="18"/>
        </w:rPr>
        <w:t xml:space="preserve"> </w:t>
      </w:r>
      <w:r w:rsidR="00421253" w:rsidRPr="003973E9">
        <w:rPr>
          <w:rFonts w:ascii="Arial" w:hAnsi="Arial" w:cs="Arial"/>
          <w:b/>
          <w:sz w:val="18"/>
          <w:szCs w:val="18"/>
        </w:rPr>
        <w:t>type Connect</w:t>
      </w:r>
      <w:r w:rsidR="00421253" w:rsidRPr="00421253">
        <w:rPr>
          <w:rFonts w:ascii="Arial" w:hAnsi="Arial" w:cs="Arial"/>
          <w:sz w:val="18"/>
          <w:szCs w:val="18"/>
        </w:rPr>
        <w:t>, porteurs de 3,7 m suspendus tous les 1,2 m par des suspentes réglables, entretoises de 1,2 m ou 1,8 m tous les 600 mm et entretoises de 0,6m. Le panneau aura un bord feuilluré qui formera un joint creux de 7mm de profondeur lorsqu’il sera posé sur l’ossature.</w:t>
      </w:r>
    </w:p>
    <w:p w:rsidR="00421253" w:rsidRPr="00497189" w:rsidRDefault="00421253" w:rsidP="00421253">
      <w:pPr>
        <w:jc w:val="both"/>
        <w:rPr>
          <w:rFonts w:ascii="Arial" w:hAnsi="Arial" w:cs="Arial"/>
          <w:sz w:val="18"/>
          <w:szCs w:val="18"/>
        </w:rPr>
      </w:pPr>
    </w:p>
    <w:p w:rsidR="00F17B56" w:rsidRDefault="00DD1AED" w:rsidP="00485E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2E0708">
        <w:rPr>
          <w:rFonts w:ascii="Arial" w:hAnsi="Arial" w:cs="Arial"/>
          <w:color w:val="000000"/>
          <w:sz w:val="18"/>
          <w:szCs w:val="18"/>
        </w:rPr>
        <w:t>oids du système sera de 2,5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2E0708">
        <w:rPr>
          <w:rFonts w:ascii="Arial" w:hAnsi="Arial" w:cs="Arial"/>
          <w:color w:val="000000"/>
          <w:sz w:val="18"/>
          <w:szCs w:val="18"/>
        </w:rPr>
        <w:t xml:space="preserve"> et l</w:t>
      </w:r>
      <w:r w:rsidR="002E0708" w:rsidRPr="00221CC6">
        <w:rPr>
          <w:rFonts w:ascii="Arial" w:hAnsi="Arial" w:cs="Arial"/>
          <w:sz w:val="18"/>
          <w:szCs w:val="18"/>
        </w:rPr>
        <w:t xml:space="preserve">es bords </w:t>
      </w:r>
      <w:r w:rsidR="002E0708">
        <w:rPr>
          <w:rFonts w:ascii="Arial" w:hAnsi="Arial" w:cs="Arial"/>
          <w:sz w:val="18"/>
          <w:szCs w:val="18"/>
        </w:rPr>
        <w:t xml:space="preserve">seront </w:t>
      </w:r>
      <w:r w:rsidR="00421253">
        <w:rPr>
          <w:rFonts w:ascii="Arial" w:hAnsi="Arial" w:cs="Arial"/>
          <w:sz w:val="18"/>
          <w:szCs w:val="18"/>
        </w:rPr>
        <w:t>peints.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 xml:space="preserve">Le système </w:t>
      </w:r>
      <w:r w:rsidR="0037043B">
        <w:rPr>
          <w:rFonts w:ascii="Arial" w:hAnsi="Arial" w:cs="Arial"/>
          <w:sz w:val="18"/>
          <w:szCs w:val="18"/>
        </w:rPr>
        <w:t>sera</w:t>
      </w:r>
      <w:bookmarkStart w:id="3" w:name="_GoBack"/>
      <w:bookmarkEnd w:id="3"/>
      <w:r w:rsidRPr="00485E5A">
        <w:rPr>
          <w:rFonts w:ascii="Arial" w:hAnsi="Arial" w:cs="Arial"/>
          <w:sz w:val="18"/>
          <w:szCs w:val="18"/>
        </w:rPr>
        <w:t xml:space="preserve"> mis en œuvre</w:t>
      </w:r>
      <w:r w:rsidR="00421253">
        <w:rPr>
          <w:rFonts w:ascii="Arial" w:hAnsi="Arial" w:cs="Arial"/>
          <w:sz w:val="18"/>
          <w:szCs w:val="18"/>
        </w:rPr>
        <w:t xml:space="preserve"> selon le schéma de montage M121, M401 ou M270</w:t>
      </w:r>
      <w:r w:rsidR="0037043B" w:rsidRPr="0037043B">
        <w:rPr>
          <w:rFonts w:ascii="Arial" w:hAnsi="Arial" w:cs="Arial"/>
          <w:sz w:val="18"/>
          <w:szCs w:val="18"/>
        </w:rPr>
        <w:t xml:space="preserve"> </w:t>
      </w:r>
      <w:r w:rsidR="0037043B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2E0708" w:rsidRPr="00F72246">
        <w:rPr>
          <w:rFonts w:ascii="Arial" w:hAnsi="Arial" w:cs="Arial"/>
          <w:sz w:val="18"/>
          <w:szCs w:val="18"/>
        </w:rPr>
        <w:t>.</w:t>
      </w:r>
      <w:r w:rsidR="002E0708">
        <w:rPr>
          <w:rFonts w:ascii="Arial" w:hAnsi="Arial" w:cs="Arial"/>
          <w:sz w:val="18"/>
          <w:szCs w:val="18"/>
        </w:rPr>
        <w:t xml:space="preserve"> </w:t>
      </w:r>
      <w:r w:rsidR="00982907">
        <w:rPr>
          <w:rFonts w:ascii="Arial" w:hAnsi="Arial" w:cs="Arial"/>
          <w:sz w:val="18"/>
          <w:szCs w:val="18"/>
        </w:rPr>
        <w:t xml:space="preserve">Les dalles </w:t>
      </w:r>
      <w:r w:rsidRPr="00485E5A">
        <w:rPr>
          <w:rFonts w:ascii="Arial" w:hAnsi="Arial" w:cs="Arial"/>
          <w:sz w:val="18"/>
          <w:szCs w:val="18"/>
        </w:rPr>
        <w:t xml:space="preserve">seront </w:t>
      </w:r>
      <w:r w:rsidR="00982907">
        <w:rPr>
          <w:rFonts w:ascii="Arial" w:hAnsi="Arial" w:cs="Arial"/>
          <w:sz w:val="18"/>
          <w:szCs w:val="18"/>
        </w:rPr>
        <w:t xml:space="preserve">facilement </w:t>
      </w:r>
      <w:r w:rsidRPr="00485E5A">
        <w:rPr>
          <w:rFonts w:ascii="Arial" w:hAnsi="Arial" w:cs="Arial"/>
          <w:sz w:val="18"/>
          <w:szCs w:val="18"/>
        </w:rPr>
        <w:t>démontables</w:t>
      </w:r>
      <w:r>
        <w:rPr>
          <w:rFonts w:ascii="Arial" w:hAnsi="Arial" w:cs="Arial"/>
          <w:sz w:val="18"/>
          <w:szCs w:val="18"/>
        </w:rPr>
        <w:t>.</w:t>
      </w:r>
    </w:p>
    <w:p w:rsidR="00485E5A" w:rsidRPr="00485E5A" w:rsidRDefault="00485E5A" w:rsidP="003D6A40">
      <w:pPr>
        <w:jc w:val="both"/>
        <w:rPr>
          <w:rFonts w:ascii="Arial" w:hAnsi="Arial" w:cs="Arial"/>
          <w:sz w:val="18"/>
          <w:szCs w:val="24"/>
        </w:rPr>
      </w:pPr>
    </w:p>
    <w:p w:rsidR="00485E5A" w:rsidRPr="001A095B" w:rsidRDefault="00F17B56" w:rsidP="00485E5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0500-N. </w:t>
      </w:r>
      <w:r w:rsidR="00982907" w:rsidRPr="00982907">
        <w:rPr>
          <w:rFonts w:ascii="Arial" w:hAnsi="Arial" w:cs="Arial"/>
          <w:noProof/>
          <w:sz w:val="18"/>
          <w:szCs w:val="18"/>
        </w:rPr>
        <w:t xml:space="preserve">La surface du plafond </w:t>
      </w:r>
      <w:r w:rsidR="0037043B">
        <w:rPr>
          <w:rFonts w:ascii="Arial" w:hAnsi="Arial" w:cs="Arial"/>
          <w:noProof/>
          <w:sz w:val="18"/>
          <w:szCs w:val="18"/>
        </w:rPr>
        <w:t>aura une réflection</w:t>
      </w:r>
      <w:r w:rsidR="00982907" w:rsidRPr="00982907">
        <w:rPr>
          <w:rFonts w:ascii="Arial" w:hAnsi="Arial" w:cs="Arial"/>
          <w:noProof/>
          <w:sz w:val="18"/>
          <w:szCs w:val="18"/>
        </w:rPr>
        <w:t xml:space="preserve"> lumineuse de 84%.</w:t>
      </w:r>
      <w:r w:rsidR="00982907">
        <w:rPr>
          <w:rFonts w:ascii="Arial" w:hAnsi="Arial" w:cs="Arial"/>
          <w:noProof/>
          <w:sz w:val="18"/>
          <w:szCs w:val="18"/>
        </w:rPr>
        <w:t xml:space="preserve"> </w:t>
      </w:r>
    </w:p>
    <w:p w:rsidR="00F17B56" w:rsidRDefault="00F17B56" w:rsidP="00485E5A">
      <w:pPr>
        <w:jc w:val="both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37043B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37043B">
        <w:rPr>
          <w:rFonts w:ascii="Arial" w:hAnsi="Arial" w:cs="Arial"/>
          <w:sz w:val="18"/>
          <w:szCs w:val="18"/>
        </w:rPr>
        <w:t>un coefficient αw = 1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B6D8D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3973E9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GEDINA E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7043B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143" w:type="dxa"/>
            <w:vAlign w:val="center"/>
          </w:tcPr>
          <w:p w:rsidR="003B6D8D" w:rsidRPr="00564EFD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82907" w:rsidRPr="00564EFD" w:rsidTr="00FB35B4">
        <w:trPr>
          <w:trHeight w:val="255"/>
        </w:trPr>
        <w:tc>
          <w:tcPr>
            <w:tcW w:w="1353" w:type="dxa"/>
            <w:noWrap/>
          </w:tcPr>
          <w:p w:rsidR="00982907" w:rsidRPr="00564EFD" w:rsidRDefault="0037043B" w:rsidP="0098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</w:t>
            </w:r>
          </w:p>
        </w:tc>
        <w:tc>
          <w:tcPr>
            <w:tcW w:w="915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822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822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982907" w:rsidRPr="00564EFD" w:rsidTr="00FB35B4">
        <w:trPr>
          <w:trHeight w:val="255"/>
        </w:trPr>
        <w:tc>
          <w:tcPr>
            <w:tcW w:w="1353" w:type="dxa"/>
            <w:noWrap/>
          </w:tcPr>
          <w:p w:rsidR="00982907" w:rsidRPr="00564EFD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Gamma</w:t>
            </w:r>
          </w:p>
        </w:tc>
        <w:tc>
          <w:tcPr>
            <w:tcW w:w="915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822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822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963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963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963" w:type="dxa"/>
            <w:noWrap/>
            <w:vAlign w:val="center"/>
          </w:tcPr>
          <w:p w:rsidR="00982907" w:rsidRDefault="0042125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98" w:type="dxa"/>
            <w:noWrap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143" w:type="dxa"/>
            <w:vAlign w:val="center"/>
          </w:tcPr>
          <w:p w:rsidR="00982907" w:rsidRDefault="0098290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982907" w:rsidRDefault="00982907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82907" w:rsidRDefault="00982907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Performance d’intelligibilité, la classe d'articulation AC (1,5) sera de</w:t>
      </w:r>
      <w:r>
        <w:rPr>
          <w:rFonts w:ascii="Arial" w:hAnsi="Arial" w:cs="Arial"/>
          <w:sz w:val="18"/>
          <w:szCs w:val="24"/>
        </w:rPr>
        <w:t xml:space="preserve"> 190</w:t>
      </w:r>
      <w:r w:rsidRPr="007A52A9">
        <w:rPr>
          <w:rFonts w:ascii="Arial" w:hAnsi="Arial" w:cs="Arial"/>
          <w:sz w:val="18"/>
          <w:szCs w:val="24"/>
        </w:rPr>
        <w:t xml:space="preserve"> selon la norme ASTM E 1111 et E 1110</w:t>
      </w:r>
      <w:r>
        <w:rPr>
          <w:rFonts w:ascii="Arial" w:hAnsi="Arial" w:cs="Arial"/>
          <w:sz w:val="18"/>
          <w:szCs w:val="24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982907">
        <w:rPr>
          <w:rFonts w:ascii="Arial" w:hAnsi="Arial" w:cs="Arial"/>
          <w:sz w:val="18"/>
          <w:szCs w:val="18"/>
        </w:rPr>
        <w:t xml:space="preserve"> Les dalles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</w:t>
      </w:r>
      <w:r w:rsidR="00982907">
        <w:rPr>
          <w:rFonts w:ascii="Arial" w:hAnsi="Arial" w:cs="Arial"/>
          <w:bCs/>
          <w:sz w:val="18"/>
          <w:szCs w:val="18"/>
        </w:rPr>
        <w:t>nsion sera classé A1. La dalle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982907">
        <w:rPr>
          <w:rFonts w:ascii="Arial" w:hAnsi="Arial" w:cs="Arial"/>
          <w:noProof/>
          <w:sz w:val="18"/>
          <w:szCs w:val="18"/>
        </w:rPr>
        <w:t>Les dalles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 w:rsidR="00735889">
        <w:rPr>
          <w:rFonts w:ascii="Arial" w:hAnsi="Arial" w:cs="Arial"/>
          <w:noProof/>
          <w:sz w:val="18"/>
          <w:szCs w:val="18"/>
        </w:rPr>
        <w:t xml:space="preserve"> atteindre 9</w:t>
      </w:r>
      <w:r>
        <w:rPr>
          <w:rFonts w:ascii="Arial" w:hAnsi="Arial" w:cs="Arial"/>
          <w:noProof/>
          <w:sz w:val="18"/>
          <w:szCs w:val="18"/>
        </w:rPr>
        <w:t>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AA6362">
        <w:rPr>
          <w:rFonts w:ascii="Arial" w:hAnsi="Arial" w:cs="Arial"/>
          <w:sz w:val="18"/>
          <w:szCs w:val="18"/>
        </w:rPr>
        <w:t xml:space="preserve"> Les dalles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>limatique intérieure. Les panneaux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485E5A" w:rsidRPr="00D510DB">
        <w:rPr>
          <w:rFonts w:ascii="Arial" w:hAnsi="Arial" w:cs="Arial"/>
          <w:sz w:val="18"/>
          <w:szCs w:val="18"/>
        </w:rPr>
        <w:t>dépourvus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AA6362" w:rsidRDefault="00AA6362" w:rsidP="003B6D8D">
      <w:pPr>
        <w:jc w:val="both"/>
        <w:rPr>
          <w:rFonts w:ascii="Arial" w:hAnsi="Arial" w:cs="Arial"/>
          <w:sz w:val="18"/>
          <w:szCs w:val="18"/>
        </w:rPr>
      </w:pPr>
    </w:p>
    <w:p w:rsidR="00AA6362" w:rsidRDefault="00AA6362" w:rsidP="003B6D8D">
      <w:pPr>
        <w:jc w:val="both"/>
        <w:rPr>
          <w:rFonts w:ascii="Arial" w:hAnsi="Arial" w:cs="Arial"/>
          <w:sz w:val="18"/>
          <w:szCs w:val="18"/>
        </w:rPr>
      </w:pPr>
      <w:r w:rsidRPr="00AA6362">
        <w:rPr>
          <w:rFonts w:ascii="Arial" w:hAnsi="Arial" w:cs="Arial"/>
          <w:b/>
          <w:sz w:val="18"/>
          <w:szCs w:val="18"/>
        </w:rPr>
        <w:t>Empreinte environnementale :</w:t>
      </w:r>
      <w:r w:rsidRPr="00AA6362">
        <w:rPr>
          <w:rFonts w:ascii="Arial" w:hAnsi="Arial" w:cs="Arial"/>
          <w:sz w:val="18"/>
          <w:szCs w:val="18"/>
        </w:rPr>
        <w:t xml:space="preserve"> L’analyse du cycle de vie des dalles sera réalisée suivant la norme EN 15804 et ISO 14025 et sera vérifiée par une tierce partie dans une DEP (Déclaration Environnement Pr</w:t>
      </w:r>
      <w:r w:rsidR="0037043B">
        <w:rPr>
          <w:rFonts w:ascii="Arial" w:hAnsi="Arial" w:cs="Arial"/>
          <w:sz w:val="18"/>
          <w:szCs w:val="18"/>
        </w:rPr>
        <w:t>oduit). Les émissions de C02 de la dalle</w:t>
      </w:r>
      <w:r w:rsidRPr="00AA6362">
        <w:rPr>
          <w:rFonts w:ascii="Arial" w:hAnsi="Arial" w:cs="Arial"/>
          <w:sz w:val="18"/>
          <w:szCs w:val="18"/>
        </w:rPr>
        <w:t xml:space="preserve"> durant son cycle de</w:t>
      </w:r>
      <w:r w:rsidR="003973E9">
        <w:rPr>
          <w:rFonts w:ascii="Arial" w:hAnsi="Arial" w:cs="Arial"/>
          <w:sz w:val="18"/>
          <w:szCs w:val="18"/>
        </w:rPr>
        <w:t xml:space="preserve"> vie ne devront pas excéder 2,30</w:t>
      </w:r>
      <w:r w:rsidRPr="00AA6362">
        <w:rPr>
          <w:rFonts w:ascii="Arial" w:hAnsi="Arial" w:cs="Arial"/>
          <w:sz w:val="18"/>
          <w:szCs w:val="18"/>
        </w:rPr>
        <w:t xml:space="preserve"> kg équivalent C02 / m².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</w:t>
      </w:r>
      <w:r w:rsidR="0037043B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3973E9">
        <w:rPr>
          <w:rFonts w:ascii="Arial" w:hAnsi="Arial" w:cs="Arial"/>
          <w:sz w:val="18"/>
          <w:szCs w:val="18"/>
        </w:rPr>
        <w:t>de 46</w:t>
      </w:r>
      <w:r w:rsidR="00485E5A">
        <w:rPr>
          <w:rFonts w:ascii="Arial" w:hAnsi="Arial" w:cs="Arial"/>
          <w:sz w:val="18"/>
          <w:szCs w:val="18"/>
        </w:rPr>
        <w:t>%. Les panneaux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37043B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37043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37043B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37043B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94" w:rsidRDefault="00E94394" w:rsidP="00BE2C06">
      <w:r>
        <w:separator/>
      </w:r>
    </w:p>
  </w:endnote>
  <w:endnote w:type="continuationSeparator" w:id="0">
    <w:p w:rsidR="00E94394" w:rsidRDefault="00E94394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94" w:rsidRDefault="00E94394" w:rsidP="00BE2C06">
      <w:r>
        <w:separator/>
      </w:r>
    </w:p>
  </w:footnote>
  <w:footnote w:type="continuationSeparator" w:id="0">
    <w:p w:rsidR="00E94394" w:rsidRDefault="00E94394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F1497"/>
    <w:rsid w:val="00151193"/>
    <w:rsid w:val="00232C00"/>
    <w:rsid w:val="002E0708"/>
    <w:rsid w:val="003554B3"/>
    <w:rsid w:val="0037043B"/>
    <w:rsid w:val="003973E9"/>
    <w:rsid w:val="003B6D8D"/>
    <w:rsid w:val="003D6A40"/>
    <w:rsid w:val="003F3D8B"/>
    <w:rsid w:val="00421253"/>
    <w:rsid w:val="00456330"/>
    <w:rsid w:val="00485E5A"/>
    <w:rsid w:val="00497189"/>
    <w:rsid w:val="00502134"/>
    <w:rsid w:val="00583173"/>
    <w:rsid w:val="005C32B7"/>
    <w:rsid w:val="006C5A38"/>
    <w:rsid w:val="007007B4"/>
    <w:rsid w:val="0071118D"/>
    <w:rsid w:val="00735889"/>
    <w:rsid w:val="007358FD"/>
    <w:rsid w:val="007441AF"/>
    <w:rsid w:val="00773283"/>
    <w:rsid w:val="00822E00"/>
    <w:rsid w:val="008F3E8E"/>
    <w:rsid w:val="00902D46"/>
    <w:rsid w:val="00911D6F"/>
    <w:rsid w:val="00944BE4"/>
    <w:rsid w:val="00982907"/>
    <w:rsid w:val="00A10D1A"/>
    <w:rsid w:val="00A43D5F"/>
    <w:rsid w:val="00A43F9F"/>
    <w:rsid w:val="00AA6362"/>
    <w:rsid w:val="00B02789"/>
    <w:rsid w:val="00B220B2"/>
    <w:rsid w:val="00BE2C06"/>
    <w:rsid w:val="00CD439D"/>
    <w:rsid w:val="00DD1AED"/>
    <w:rsid w:val="00E94394"/>
    <w:rsid w:val="00EE14B6"/>
    <w:rsid w:val="00F17B56"/>
    <w:rsid w:val="00F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7425F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3</cp:revision>
  <dcterms:created xsi:type="dcterms:W3CDTF">2020-06-26T07:39:00Z</dcterms:created>
  <dcterms:modified xsi:type="dcterms:W3CDTF">2020-06-29T13:23:00Z</dcterms:modified>
</cp:coreProperties>
</file>